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tqvbt3wnppe" w:id="0"/>
      <w:bookmarkEnd w:id="0"/>
      <w:r w:rsidDel="00000000" w:rsidR="00000000" w:rsidRPr="00000000">
        <w:rPr>
          <w:rFonts w:ascii="Times New Roman" w:cs="Times New Roman" w:eastAsia="Times New Roman" w:hAnsi="Times New Roman"/>
          <w:b w:val="1"/>
          <w:bCs w:val="1"/>
          <w:sz w:val="26"/>
          <w:szCs w:val="26"/>
          <w:rtl w:val="0"/>
        </w:rPr>
        <w:t xml:space="preserve">ПОДХОДЫ К ОЦЕНКЕ БЕЗОПАСНОСТИ КИБЕРФИЗИЧЕСКИХ СИСТЕМ</w:t>
      </w:r>
    </w:p>
    <w:p w:rsidR="00000000" w:rsidDel="00000000" w:rsidP="00000000" w:rsidRDefault="00000000" w:rsidRPr="00000000" w14:paraId="00000002">
      <w:pPr>
        <w:pStyle w:val="Heading2"/>
        <w:keepNext w:val="0"/>
        <w:keepLines w:val="0"/>
        <w:spacing w:after="0" w:before="0" w:lineRule="auto"/>
        <w:jc w:val="both"/>
        <w:rPr>
          <w:rFonts w:ascii="Times New Roman" w:cs="Times New Roman" w:eastAsia="Times New Roman" w:hAnsi="Times New Roman"/>
          <w:sz w:val="26"/>
          <w:szCs w:val="26"/>
        </w:rPr>
      </w:pPr>
      <w:bookmarkStart w:colFirst="0" w:colLast="0" w:name="_osf8e09akj8y" w:id="1"/>
      <w:bookmarkEnd w:id="1"/>
      <w:r w:rsidDel="00000000" w:rsidR="00000000" w:rsidRPr="00000000">
        <w:rPr>
          <w:rFonts w:ascii="Times New Roman" w:cs="Times New Roman" w:eastAsia="Times New Roman" w:hAnsi="Times New Roman"/>
          <w:b w:val="1"/>
          <w:bCs w:val="1"/>
          <w:sz w:val="26"/>
          <w:szCs w:val="26"/>
          <w:rtl w:val="0"/>
        </w:rPr>
        <w:t xml:space="preserve">Цель лекции:</w:t>
      </w:r>
      <w:r w:rsidDel="00000000" w:rsidR="00000000" w:rsidRPr="00000000">
        <w:rPr>
          <w:rFonts w:ascii="Times New Roman" w:cs="Times New Roman" w:eastAsia="Times New Roman" w:hAnsi="Times New Roman"/>
          <w:sz w:val="26"/>
          <w:szCs w:val="26"/>
          <w:rtl w:val="0"/>
        </w:rPr>
        <w:t xml:space="preserve"> Сформировать у студентов комплексное понимание современных подходов к оценке безопасности киберфизических систем, включая методологию анализа угроз, математические модели оценки устойчивости и практические аспекты обеспечения гомеостаза в условиях кибератак.</w:t>
      </w:r>
    </w:p>
    <w:p w:rsidR="00000000" w:rsidDel="00000000" w:rsidP="00000000" w:rsidRDefault="00000000" w:rsidRPr="00000000" w14:paraId="00000003">
      <w:pPr>
        <w:pStyle w:val="Heading2"/>
        <w:keepNext w:val="0"/>
        <w:keepLines w:val="0"/>
        <w:spacing w:after="0" w:before="0" w:lineRule="auto"/>
        <w:rPr>
          <w:rFonts w:ascii="Times New Roman" w:cs="Times New Roman" w:eastAsia="Times New Roman" w:hAnsi="Times New Roman"/>
          <w:b w:val="1"/>
          <w:bCs w:val="1"/>
          <w:sz w:val="26"/>
          <w:szCs w:val="26"/>
        </w:rPr>
      </w:pPr>
      <w:bookmarkStart w:colFirst="0" w:colLast="0" w:name="_q8qctczijb3q" w:id="2"/>
      <w:bookmarkEnd w:id="2"/>
      <w:r w:rsidDel="00000000" w:rsidR="00000000" w:rsidRPr="00000000">
        <w:rPr>
          <w:rFonts w:ascii="Times New Roman" w:cs="Times New Roman" w:eastAsia="Times New Roman" w:hAnsi="Times New Roman"/>
          <w:b w:val="1"/>
          <w:bCs w:val="1"/>
          <w:sz w:val="26"/>
          <w:szCs w:val="26"/>
          <w:rtl w:val="0"/>
        </w:rPr>
        <w:t xml:space="preserve">Основные вопросы лекции:</w:t>
      </w:r>
    </w:p>
    <w:p w:rsidR="00000000" w:rsidDel="00000000" w:rsidP="00000000" w:rsidRDefault="00000000" w:rsidRPr="00000000" w14:paraId="00000004">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Эволюция IT-систем: от киберпространства к Industry 4.0</w:t>
      </w:r>
    </w:p>
    <w:p w:rsidR="00000000" w:rsidDel="00000000" w:rsidP="00000000" w:rsidRDefault="00000000" w:rsidRPr="00000000" w14:paraId="00000005">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Понятие, классификация и архитектура киберфизических систем</w:t>
      </w:r>
    </w:p>
    <w:p w:rsidR="00000000" w:rsidDel="00000000" w:rsidP="00000000" w:rsidRDefault="00000000" w:rsidRPr="00000000" w14:paraId="00000006">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Систематизация угроз и уязвимостей КФС</w:t>
      </w:r>
    </w:p>
    <w:p w:rsidR="00000000" w:rsidDel="00000000" w:rsidP="00000000" w:rsidRDefault="00000000" w:rsidRPr="00000000" w14:paraId="00000007">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Концепции Safety и Security в контексте КФС</w:t>
      </w:r>
    </w:p>
    <w:p w:rsidR="00000000" w:rsidDel="00000000" w:rsidP="00000000" w:rsidRDefault="00000000" w:rsidRPr="00000000" w14:paraId="00000008">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Математический аппарат оценки устойчивости</w:t>
      </w:r>
    </w:p>
    <w:p w:rsidR="00000000" w:rsidDel="00000000" w:rsidP="00000000" w:rsidRDefault="00000000" w:rsidRPr="00000000" w14:paraId="00000009">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Принципы гомеостаза и самовосстановления</w:t>
      </w:r>
    </w:p>
    <w:p w:rsidR="00000000" w:rsidDel="00000000" w:rsidP="00000000" w:rsidRDefault="00000000" w:rsidRPr="00000000" w14:paraId="0000000A">
      <w:pPr>
        <w:numPr>
          <w:ilvl w:val="0"/>
          <w:numId w:val="1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Практические аспекты и case studies</w:t>
        <w:br w:type="textWrapping"/>
      </w:r>
    </w:p>
    <w:p w:rsidR="00000000" w:rsidDel="00000000" w:rsidP="00000000" w:rsidRDefault="00000000" w:rsidRPr="00000000" w14:paraId="0000000B">
      <w:pPr>
        <w:pStyle w:val="Heading2"/>
        <w:keepNext w:val="0"/>
        <w:keepLines w:val="0"/>
        <w:spacing w:after="0" w:before="0" w:lineRule="auto"/>
        <w:rPr>
          <w:rFonts w:ascii="Times New Roman" w:cs="Times New Roman" w:eastAsia="Times New Roman" w:hAnsi="Times New Roman"/>
          <w:sz w:val="26"/>
          <w:szCs w:val="26"/>
        </w:rPr>
      </w:pPr>
      <w:bookmarkStart w:colFirst="0" w:colLast="0" w:name="_bxvslkhgabc7" w:id="3"/>
      <w:bookmarkEnd w:id="3"/>
      <w:r w:rsidDel="00000000" w:rsidR="00000000" w:rsidRPr="00000000">
        <w:rPr>
          <w:rFonts w:ascii="Times New Roman" w:cs="Times New Roman" w:eastAsia="Times New Roman" w:hAnsi="Times New Roman"/>
          <w:b w:val="1"/>
          <w:bCs w:val="1"/>
          <w:sz w:val="26"/>
          <w:szCs w:val="26"/>
          <w:rtl w:val="0"/>
        </w:rPr>
        <w:t xml:space="preserve">Краткое содержание лекции:</w:t>
      </w:r>
      <w:r w:rsidDel="00000000" w:rsidR="00000000" w:rsidRPr="00000000">
        <w:rPr>
          <w:rFonts w:ascii="Times New Roman" w:cs="Times New Roman" w:eastAsia="Times New Roman" w:hAnsi="Times New Roman"/>
          <w:sz w:val="26"/>
          <w:szCs w:val="26"/>
          <w:rtl w:val="0"/>
        </w:rPr>
        <w:t xml:space="preserve"> Введение в киберфизические системы Классификация киберфизических систем</w:t>
        <w:br w:type="textWrapping"/>
        <w:t xml:space="preserve">Систематизация угроз и уязвимостей</w:t>
        <w:br w:type="textWrapping"/>
        <w:t xml:space="preserve">Подходы к оценке безопасности (Safety и Security)</w:t>
        <w:br w:type="textWrapping"/>
        <w:t xml:space="preserve">Математические методы оценки устойчивости</w:t>
        <w:br w:type="textWrapping"/>
        <w:t xml:space="preserve">Принципы гомеостаза в КФС</w:t>
        <w:br w:type="textWrapping"/>
        <w:t xml:space="preserve">Практические аспекты и рекомендации</w:t>
        <w:br w:type="textWrapping"/>
      </w:r>
    </w:p>
    <w:p w:rsidR="00000000" w:rsidDel="00000000" w:rsidP="00000000" w:rsidRDefault="00000000" w:rsidRPr="00000000" w14:paraId="0000000C">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6tcnmv8fqpnp" w:id="4"/>
      <w:bookmarkEnd w:id="4"/>
      <w:r w:rsidDel="00000000" w:rsidR="00000000" w:rsidRPr="00000000">
        <w:rPr>
          <w:rFonts w:ascii="Times New Roman" w:cs="Times New Roman" w:eastAsia="Times New Roman" w:hAnsi="Times New Roman"/>
          <w:b w:val="1"/>
          <w:bCs w:val="1"/>
          <w:sz w:val="26"/>
          <w:szCs w:val="26"/>
          <w:rtl w:val="0"/>
        </w:rPr>
        <w:t xml:space="preserve">1. Введение в киберфизические системы</w:t>
      </w:r>
    </w:p>
    <w:p w:rsidR="00000000" w:rsidDel="00000000" w:rsidP="00000000" w:rsidRDefault="00000000" w:rsidRPr="00000000" w14:paraId="0000000D">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Современный этап развития информационных технологий характеризуется переходом к Четвертой промышленной революции (Industry 4.0), которая представляет собой качественно новый уровень интеграции физических и цифровых систем.</w:t>
      </w:r>
    </w:p>
    <w:p w:rsidR="00000000" w:rsidDel="00000000" w:rsidP="00000000" w:rsidRDefault="00000000" w:rsidRPr="00000000" w14:paraId="0000000E">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Ключевые характеристики Industry 4.0:</w:t>
      </w:r>
    </w:p>
    <w:p w:rsidR="00000000" w:rsidDel="00000000" w:rsidP="00000000" w:rsidRDefault="00000000" w:rsidRPr="00000000" w14:paraId="0000000F">
      <w:pPr>
        <w:numPr>
          <w:ilvl w:val="0"/>
          <w:numId w:val="1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Перманентная информационная революция</w:t>
      </w:r>
    </w:p>
    <w:p w:rsidR="00000000" w:rsidDel="00000000" w:rsidP="00000000" w:rsidRDefault="00000000" w:rsidRPr="00000000" w14:paraId="00000010">
      <w:pPr>
        <w:numPr>
          <w:ilvl w:val="0"/>
          <w:numId w:val="1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Глубокая промышленная компьютеризация</w:t>
      </w:r>
    </w:p>
    <w:p w:rsidR="00000000" w:rsidDel="00000000" w:rsidP="00000000" w:rsidRDefault="00000000" w:rsidRPr="00000000" w14:paraId="00000011">
      <w:pPr>
        <w:numPr>
          <w:ilvl w:val="0"/>
          <w:numId w:val="1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Интеграция Internet-технологий с АСУ производства</w:t>
      </w:r>
    </w:p>
    <w:p w:rsidR="00000000" w:rsidDel="00000000" w:rsidP="00000000" w:rsidRDefault="00000000" w:rsidRPr="00000000" w14:paraId="00000012">
      <w:pPr>
        <w:numPr>
          <w:ilvl w:val="0"/>
          <w:numId w:val="1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Распространение на энергетику, транспорт, медицину, банковскую сферу</w:t>
      </w:r>
    </w:p>
    <w:p w:rsidR="00000000" w:rsidDel="00000000" w:rsidP="00000000" w:rsidRDefault="00000000" w:rsidRPr="00000000" w14:paraId="00000013">
      <w:pPr>
        <w:numPr>
          <w:ilvl w:val="0"/>
          <w:numId w:val="1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Массовое внедрение домашних устройств и систем безопасности</w:t>
        <w:br w:type="textWrapping"/>
      </w:r>
    </w:p>
    <w:p w:rsidR="00000000" w:rsidDel="00000000" w:rsidP="00000000" w:rsidRDefault="00000000" w:rsidRPr="00000000" w14:paraId="00000014">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Концепция Интернета вещей (Internet of Things), предложенная Кевином Эштоном в 2009 году, рассматривает организацию умных сетей как явление, способное перестроить экономические и общественные процессы, исключая из части действий необходимость участия человека.</w:t>
        <w:br w:type="textWrapping"/>
        <w:t xml:space="preserve"> По оценкам экспертов, эти изменения затронут две трети мировой экономики, что соответствует увеличению ВВП на $12 трлн к 2030 году.</w:t>
      </w:r>
    </w:p>
    <w:p w:rsidR="00000000" w:rsidDel="00000000" w:rsidP="00000000" w:rsidRDefault="00000000" w:rsidRPr="00000000" w14:paraId="00000015">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46gchrtcqwlx" w:id="5"/>
      <w:bookmarkEnd w:id="5"/>
      <w:r w:rsidDel="00000000" w:rsidR="00000000" w:rsidRPr="00000000">
        <w:rPr>
          <w:rFonts w:ascii="Times New Roman" w:cs="Times New Roman" w:eastAsia="Times New Roman" w:hAnsi="Times New Roman"/>
          <w:b w:val="1"/>
          <w:bCs w:val="1"/>
          <w:sz w:val="26"/>
          <w:szCs w:val="26"/>
          <w:rtl w:val="0"/>
        </w:rPr>
        <w:t xml:space="preserve">2. Классификация киберфизических систем</w:t>
      </w:r>
    </w:p>
    <w:p w:rsidR="00000000" w:rsidDel="00000000" w:rsidP="00000000" w:rsidRDefault="00000000" w:rsidRPr="00000000" w14:paraId="00000016">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Киберфизический объект (КФО) — концептуальная парадигма представления производственных и технологических схем как конгломерата средств преобразования различных видов материи и энергии и информационно-телекоммуникационной среды, обеспечивающей обмен информацией между компонентами и устойчивое функционирование всей системы в условиях внешних воздействий.</w:t>
      </w:r>
    </w:p>
    <w:p w:rsidR="00000000" w:rsidDel="00000000" w:rsidP="00000000" w:rsidRDefault="00000000" w:rsidRPr="00000000" w14:paraId="00000017">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Основные классы КФО:</w:t>
      </w:r>
    </w:p>
    <w:p w:rsidR="00000000" w:rsidDel="00000000" w:rsidP="00000000" w:rsidRDefault="00000000" w:rsidRPr="00000000" w14:paraId="00000018">
      <w:pPr>
        <w:numPr>
          <w:ilvl w:val="0"/>
          <w:numId w:val="9"/>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Системы управления производством (АСУ ТП, SCADA)</w:t>
      </w:r>
    </w:p>
    <w:p w:rsidR="00000000" w:rsidDel="00000000" w:rsidP="00000000" w:rsidRDefault="00000000" w:rsidRPr="00000000" w14:paraId="00000019">
      <w:pPr>
        <w:numPr>
          <w:ilvl w:val="0"/>
          <w:numId w:val="9"/>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Интернет вещей (умный дом, умные устройства)</w:t>
      </w:r>
    </w:p>
    <w:p w:rsidR="00000000" w:rsidDel="00000000" w:rsidP="00000000" w:rsidRDefault="00000000" w:rsidRPr="00000000" w14:paraId="0000001A">
      <w:pPr>
        <w:numPr>
          <w:ilvl w:val="0"/>
          <w:numId w:val="9"/>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Робототехнические системы критического назначения</w:t>
      </w:r>
    </w:p>
    <w:p w:rsidR="00000000" w:rsidDel="00000000" w:rsidP="00000000" w:rsidRDefault="00000000" w:rsidRPr="00000000" w14:paraId="0000001B">
      <w:pPr>
        <w:numPr>
          <w:ilvl w:val="0"/>
          <w:numId w:val="9"/>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Беспилотные летательные аппараты и автомобили</w:t>
      </w:r>
    </w:p>
    <w:p w:rsidR="00000000" w:rsidDel="00000000" w:rsidP="00000000" w:rsidRDefault="00000000" w:rsidRPr="00000000" w14:paraId="0000001C">
      <w:pPr>
        <w:numPr>
          <w:ilvl w:val="0"/>
          <w:numId w:val="9"/>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Системы военного назначения</w:t>
        <w:br w:type="textWrapping"/>
      </w:r>
      <w:r w:rsidDel="00000000" w:rsidR="00000000" w:rsidRPr="00000000">
        <w:rPr>
          <w:rtl w:val="0"/>
        </w:rPr>
      </w:r>
    </w:p>
    <w:p w:rsidR="00000000" w:rsidDel="00000000" w:rsidP="00000000" w:rsidRDefault="00000000" w:rsidRPr="00000000" w14:paraId="0000001D">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Архитектурные особенности КФС:</w:t>
      </w:r>
    </w:p>
    <w:p w:rsidR="00000000" w:rsidDel="00000000" w:rsidP="00000000" w:rsidRDefault="00000000" w:rsidRPr="00000000" w14:paraId="0000001E">
      <w:pPr>
        <w:numPr>
          <w:ilvl w:val="0"/>
          <w:numId w:val="10"/>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Гетерогенность (информационная и физическая составляющие)</w:t>
      </w:r>
    </w:p>
    <w:p w:rsidR="00000000" w:rsidDel="00000000" w:rsidP="00000000" w:rsidRDefault="00000000" w:rsidRPr="00000000" w14:paraId="0000001F">
      <w:pPr>
        <w:numPr>
          <w:ilvl w:val="0"/>
          <w:numId w:val="10"/>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Децентрализация (наличие множества центров управления)</w:t>
      </w:r>
    </w:p>
    <w:p w:rsidR="00000000" w:rsidDel="00000000" w:rsidP="00000000" w:rsidRDefault="00000000" w:rsidRPr="00000000" w14:paraId="00000020">
      <w:pPr>
        <w:numPr>
          <w:ilvl w:val="0"/>
          <w:numId w:val="10"/>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Интероперабельность (взаимодействие модулей)</w:t>
      </w:r>
    </w:p>
    <w:p w:rsidR="00000000" w:rsidDel="00000000" w:rsidP="00000000" w:rsidRDefault="00000000" w:rsidRPr="00000000" w14:paraId="00000021">
      <w:pPr>
        <w:numPr>
          <w:ilvl w:val="0"/>
          <w:numId w:val="10"/>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Отказоустойчивость, стремящаяся к когнитивному поведению</w:t>
      </w:r>
    </w:p>
    <w:p w:rsidR="00000000" w:rsidDel="00000000" w:rsidP="00000000" w:rsidRDefault="00000000" w:rsidRPr="00000000" w14:paraId="00000022">
      <w:pPr>
        <w:numPr>
          <w:ilvl w:val="0"/>
          <w:numId w:val="10"/>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Возможность быстрого внедрения новых технологий</w:t>
        <w:br w:type="textWrapping"/>
      </w:r>
    </w:p>
    <w:p w:rsidR="00000000" w:rsidDel="00000000" w:rsidP="00000000" w:rsidRDefault="00000000" w:rsidRPr="00000000" w14:paraId="00000023">
      <w:pPr>
        <w:spacing w:after="0" w:before="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Систематизация угроз и уязвимостей</w:t>
      </w:r>
    </w:p>
    <w:p w:rsidR="00000000" w:rsidDel="00000000" w:rsidP="00000000" w:rsidRDefault="00000000" w:rsidRPr="00000000" w14:paraId="00000024">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Угрозы и уязвимости киберфизических систем представляют собой широкий спектр воздействий, направленных как на цифровые элементы системы, так и на её физическую инфраструктуру. Воздействие на подсистему управления особенно опасно, поскольку компрометация серверов или нарушение алгоритмов управления приводит к неправильной работе оборудования, искажениям в процессах автоматизации и возникновению аварийных ситуаций. Если атакующий получает возможность вмешиваться в логику управления, система утрачивает предсказуемость, а любые действия контроллеров становятся потенциально опасными. Дополнительные риски возникают при повреждении или отключении систем мониторинга, из-за чего операторы теряют возможность отслеживать состояние оборудования в реальном времени, что создаёт благоприятные условия для скрытых манипуляций.</w:t>
      </w:r>
    </w:p>
    <w:p w:rsidR="00000000" w:rsidDel="00000000" w:rsidP="00000000" w:rsidRDefault="00000000" w:rsidRPr="00000000" w14:paraId="00000025">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Значительную угрозу представляет человеческо-машинный интерфейс, поскольку именно он является точкой взаимодействия операторов с системой. Социальная инженерия, направленная на обман пользователей, позволяет злоумышленникам получать доступ к учётным данным, изменять конфигурации интерфейса или выполнять несанкционированные действия от лица оператора. Манипулирование пользовательскими интерфейсами может привести к тому, что оператор будет видеть искажённую информацию или принимать решения на основе ошибочных данных, что угрожает целостности технологического процесса.</w:t>
      </w:r>
    </w:p>
    <w:p w:rsidR="00000000" w:rsidDel="00000000" w:rsidP="00000000" w:rsidRDefault="00000000" w:rsidRPr="00000000" w14:paraId="00000026">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Физическая инфраструктура является не менее уязвимой частью киберфизических систем. Подмена данных датчиков приводит к тому, что система основывает свои решения на ложной информации, что может вызвать некорректную работу оборудования или аварии. Повреждение исполнительных механизмов напрямую влияет на способность системы выполнять команды, тогда как физический саботаж оборудования может полностью вывести объект из строя. Такие воздействия требуют минимального технического знания со стороны злоумышленника и зачастую сложно обнаруживаются своевременно.</w:t>
      </w:r>
    </w:p>
    <w:p w:rsidR="00000000" w:rsidDel="00000000" w:rsidP="00000000" w:rsidRDefault="00000000" w:rsidRPr="00000000" w14:paraId="00000027">
      <w:pPr>
        <w:spacing w:after="0" w:before="0" w:lineRule="auto"/>
        <w:ind w:left="0" w:firstLine="708.661417322834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Отдельное направление угроз связано с протоколами взаимодействия, через которые осуществляется обмен данными между устройствами. Атаки на промышленные протоколы, такие как Modbus или s7comm, позволяют перехватывать, модифицировать или подделывать управляющие команды. Нарушение работы сетевого оборудования может привести к отказам связи, задержкам или потере критически важных данных. Компрометация радиоканалов, широко используемых в беспроводных промышленных системах, открывает возможности для перехвата трафика, внедрения ложных пакетов или блокировки передачи данных. Комплексный характер этих угроз показывает, что для обеспечения безопасности киберфизических систем необходимо применять многоуровневый подход, учитывающий как цифровые, так и физические аспекты защиты.</w:t>
      </w:r>
    </w:p>
    <w:p w:rsidR="00000000" w:rsidDel="00000000" w:rsidP="00000000" w:rsidRDefault="00000000" w:rsidRPr="00000000" w14:paraId="00000028">
      <w:pPr>
        <w:spacing w:after="0" w:before="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Примеры реальных инцидентов:</w:t>
      </w:r>
    </w:p>
    <w:tbl>
      <w:tblPr>
        <w:tblStyle w:val="Table1"/>
        <w:tblpPr w:leftFromText="180" w:rightFromText="180" w:topFromText="180" w:bottomFromText="180" w:vertAnchor="text" w:horzAnchor="text" w:tblpX="0" w:tblpY="0"/>
        <w:tblW w:w="9015.0" w:type="dxa"/>
        <w:jc w:val="left"/>
        <w:tblLayout w:type="fixed"/>
        <w:tblLook w:val="0600"/>
      </w:tblPr>
      <w:tblGrid>
        <w:gridCol w:w="885"/>
        <w:gridCol w:w="3705"/>
        <w:gridCol w:w="4425"/>
        <w:tblGridChange w:id="0">
          <w:tblGrid>
            <w:gridCol w:w="885"/>
            <w:gridCol w:w="3705"/>
            <w:gridCol w:w="44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Инцидент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Последствия</w:t>
            </w:r>
          </w:p>
        </w:tc>
      </w:tr>
      <w:tr>
        <w:trPr>
          <w:cantSplit w:val="0"/>
          <w:trHeight w:val="1339.74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Saudi Aramco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Удаление данных с 30 000 компьютеров</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Металлургический завод (Германия)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Потеря управления доменной печью</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Электросеть Украины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Отключение электроэнергии у 600 тыс. человек</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Финляндия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DDoS-атака на систему отопления</w:t>
            </w:r>
          </w:p>
        </w:tc>
      </w:tr>
    </w:tbl>
    <w:p w:rsidR="00000000" w:rsidDel="00000000" w:rsidP="00000000" w:rsidRDefault="00000000" w:rsidRPr="00000000" w14:paraId="00000039">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62unpsfm1x73" w:id="6"/>
      <w:bookmarkEnd w:id="6"/>
      <w:r w:rsidDel="00000000" w:rsidR="00000000" w:rsidRPr="00000000">
        <w:rPr>
          <w:rFonts w:ascii="Times New Roman" w:cs="Times New Roman" w:eastAsia="Times New Roman" w:hAnsi="Times New Roman"/>
          <w:b w:val="1"/>
          <w:bCs w:val="1"/>
          <w:sz w:val="26"/>
          <w:szCs w:val="26"/>
          <w:rtl w:val="0"/>
        </w:rPr>
        <w:t xml:space="preserve">4. Подходы к оценке безопасности</w:t>
      </w:r>
    </w:p>
    <w:p w:rsidR="00000000" w:rsidDel="00000000" w:rsidP="00000000" w:rsidRDefault="00000000" w:rsidRPr="00000000" w14:paraId="0000003A">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Основные проблемы:</w:t>
      </w:r>
    </w:p>
    <w:p w:rsidR="00000000" w:rsidDel="00000000" w:rsidP="00000000" w:rsidRDefault="00000000" w:rsidRPr="00000000" w14:paraId="0000003B">
      <w:pPr>
        <w:numPr>
          <w:ilvl w:val="0"/>
          <w:numId w:val="5"/>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Неэффективность классических подходов защиты</w:t>
      </w:r>
    </w:p>
    <w:p w:rsidR="00000000" w:rsidDel="00000000" w:rsidP="00000000" w:rsidRDefault="00000000" w:rsidRPr="00000000" w14:paraId="0000003C">
      <w:pPr>
        <w:numPr>
          <w:ilvl w:val="0"/>
          <w:numId w:val="5"/>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Отсутствие шифрования и современных протоколов</w:t>
      </w:r>
    </w:p>
    <w:p w:rsidR="00000000" w:rsidDel="00000000" w:rsidP="00000000" w:rsidRDefault="00000000" w:rsidRPr="00000000" w14:paraId="0000003D">
      <w:pPr>
        <w:numPr>
          <w:ilvl w:val="0"/>
          <w:numId w:val="5"/>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Слабые механизмы аутентификации</w:t>
      </w:r>
    </w:p>
    <w:p w:rsidR="00000000" w:rsidDel="00000000" w:rsidP="00000000" w:rsidRDefault="00000000" w:rsidRPr="00000000" w14:paraId="0000003E">
      <w:pPr>
        <w:numPr>
          <w:ilvl w:val="0"/>
          <w:numId w:val="5"/>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Ограниченная возможность обновления компонентов</w:t>
      </w:r>
    </w:p>
    <w:p w:rsidR="00000000" w:rsidDel="00000000" w:rsidP="00000000" w:rsidRDefault="00000000" w:rsidRPr="00000000" w14:paraId="0000003F">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Концепции:</w:t>
      </w:r>
    </w:p>
    <w:p w:rsidR="00000000" w:rsidDel="00000000" w:rsidP="00000000" w:rsidRDefault="00000000" w:rsidRPr="00000000" w14:paraId="00000040">
      <w:pPr>
        <w:numPr>
          <w:ilvl w:val="0"/>
          <w:numId w:val="7"/>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Safety (функциональная безопасность)</w:t>
      </w:r>
      <w:r w:rsidDel="00000000" w:rsidR="00000000" w:rsidRPr="00000000">
        <w:rPr>
          <w:rFonts w:ascii="Times New Roman" w:cs="Times New Roman" w:eastAsia="Times New Roman" w:hAnsi="Times New Roman"/>
          <w:sz w:val="26"/>
          <w:szCs w:val="26"/>
          <w:rtl w:val="0"/>
        </w:rPr>
        <w:t xml:space="preserve"> — способность системы работать без причинения вреда пользователю и среде.</w:t>
      </w:r>
    </w:p>
    <w:p w:rsidR="00000000" w:rsidDel="00000000" w:rsidP="00000000" w:rsidRDefault="00000000" w:rsidRPr="00000000" w14:paraId="00000041">
      <w:pPr>
        <w:numPr>
          <w:ilvl w:val="0"/>
          <w:numId w:val="7"/>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Security (информационная защищенность)</w:t>
      </w:r>
      <w:r w:rsidDel="00000000" w:rsidR="00000000" w:rsidRPr="00000000">
        <w:rPr>
          <w:rFonts w:ascii="Times New Roman" w:cs="Times New Roman" w:eastAsia="Times New Roman" w:hAnsi="Times New Roman"/>
          <w:sz w:val="26"/>
          <w:szCs w:val="26"/>
          <w:rtl w:val="0"/>
        </w:rPr>
        <w:t xml:space="preserve"> — устойчивость к внешним угрозам и атакам.</w:t>
      </w:r>
    </w:p>
    <w:p w:rsidR="00000000" w:rsidDel="00000000" w:rsidP="00000000" w:rsidRDefault="00000000" w:rsidRPr="00000000" w14:paraId="00000042">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Современные КФС требуют объединения подходов </w:t>
      </w:r>
      <w:r w:rsidDel="00000000" w:rsidR="00000000" w:rsidRPr="00000000">
        <w:rPr>
          <w:rFonts w:ascii="Times New Roman" w:cs="Times New Roman" w:eastAsia="Times New Roman" w:hAnsi="Times New Roman"/>
          <w:b w:val="1"/>
          <w:bCs w:val="1"/>
          <w:sz w:val="26"/>
          <w:szCs w:val="26"/>
          <w:rtl w:val="0"/>
        </w:rPr>
        <w:t xml:space="preserve">Safety + Security</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3">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z0xcnq1p0wtt" w:id="7"/>
      <w:bookmarkEnd w:id="7"/>
      <w:r w:rsidDel="00000000" w:rsidR="00000000" w:rsidRPr="00000000">
        <w:rPr>
          <w:rFonts w:ascii="Times New Roman" w:cs="Times New Roman" w:eastAsia="Times New Roman" w:hAnsi="Times New Roman"/>
          <w:b w:val="1"/>
          <w:bCs w:val="1"/>
          <w:sz w:val="26"/>
          <w:szCs w:val="26"/>
          <w:rtl w:val="0"/>
        </w:rPr>
        <w:t xml:space="preserve">5. Математический аппарат оценки устойчивости</w:t>
      </w:r>
    </w:p>
    <w:p w:rsidR="00000000" w:rsidDel="00000000" w:rsidP="00000000" w:rsidRDefault="00000000" w:rsidRPr="00000000" w14:paraId="00000044">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Графовые модели</w:t>
      </w:r>
    </w:p>
    <w:p w:rsidR="00000000" w:rsidDel="00000000" w:rsidP="00000000" w:rsidRDefault="00000000" w:rsidRPr="00000000" w14:paraId="00000045">
      <w:pPr>
        <w:numPr>
          <w:ilvl w:val="0"/>
          <w:numId w:val="3"/>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Определение точек начала атаки</w:t>
      </w:r>
    </w:p>
    <w:p w:rsidR="00000000" w:rsidDel="00000000" w:rsidP="00000000" w:rsidRDefault="00000000" w:rsidRPr="00000000" w14:paraId="00000046">
      <w:pPr>
        <w:numPr>
          <w:ilvl w:val="0"/>
          <w:numId w:val="3"/>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Анализ достижимости вершин системы</w:t>
      </w:r>
    </w:p>
    <w:p w:rsidR="00000000" w:rsidDel="00000000" w:rsidP="00000000" w:rsidRDefault="00000000" w:rsidRPr="00000000" w14:paraId="00000047">
      <w:pPr>
        <w:numPr>
          <w:ilvl w:val="0"/>
          <w:numId w:val="3"/>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Выявление уязвимых компонент</w:t>
        <w:br w:type="textWrapping"/>
      </w:r>
    </w:p>
    <w:p w:rsidR="00000000" w:rsidDel="00000000" w:rsidP="00000000" w:rsidRDefault="00000000" w:rsidRPr="00000000" w14:paraId="00000048">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Фрактальные методы</w:t>
      </w:r>
    </w:p>
    <w:p w:rsidR="00000000" w:rsidDel="00000000" w:rsidP="00000000" w:rsidRDefault="00000000" w:rsidRPr="00000000" w14:paraId="00000049">
      <w:pPr>
        <w:numPr>
          <w:ilvl w:val="0"/>
          <w:numId w:val="8"/>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Показатель Хёрста</w:t>
      </w:r>
      <w:r w:rsidDel="00000000" w:rsidR="00000000" w:rsidRPr="00000000">
        <w:rPr>
          <w:rFonts w:ascii="Times New Roman" w:cs="Times New Roman" w:eastAsia="Times New Roman" w:hAnsi="Times New Roman"/>
          <w:sz w:val="26"/>
          <w:szCs w:val="26"/>
          <w:rtl w:val="0"/>
        </w:rPr>
        <w:t xml:space="preserve">:</w:t>
        <w:br w:type="textWrapping"/>
        <w:t xml:space="preserve"> RnSn=(</w:t>
      </w:r>
      <w:r w:rsidDel="00000000" w:rsidR="00000000" w:rsidRPr="00000000">
        <w:rPr>
          <w:rFonts w:ascii="Times New Roman" w:cs="Times New Roman" w:eastAsia="Times New Roman" w:hAnsi="Times New Roman"/>
          <w:sz w:val="26"/>
          <w:szCs w:val="26"/>
        </w:rPr>
        <w:drawing>
          <wp:inline distB="114300" distT="114300" distL="114300" distR="114300">
            <wp:extent cx="2692400" cy="381000"/>
            <wp:effectExtent b="0" l="0" r="0" t="0"/>
            <wp:docPr id="4"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2692400" cy="381000"/>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br w:type="textWrapping"/>
        <w:t xml:space="preserve"> </w:t>
      </w:r>
      <w:r w:rsidDel="00000000" w:rsidR="00000000" w:rsidRPr="00000000">
        <w:rPr>
          <w:rFonts w:ascii="Times New Roman" w:cs="Times New Roman" w:eastAsia="Times New Roman" w:hAnsi="Times New Roman"/>
          <w:sz w:val="26"/>
          <w:szCs w:val="26"/>
        </w:rPr>
        <w:drawing>
          <wp:inline distB="114300" distT="114300" distL="114300" distR="114300">
            <wp:extent cx="2921000" cy="177800"/>
            <wp:effectExtent b="0" l="0" r="0" t="0"/>
            <wp:docPr id="3"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921000" cy="177800"/>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 — процесс самоподобен.</w:t>
      </w:r>
    </w:p>
    <w:p w:rsidR="00000000" w:rsidDel="00000000" w:rsidP="00000000" w:rsidRDefault="00000000" w:rsidRPr="00000000" w14:paraId="0000004A">
      <w:pPr>
        <w:spacing w:after="0" w:before="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numPr>
          <w:ilvl w:val="0"/>
          <w:numId w:val="8"/>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Фактор Фано:</w:t>
        <w:br w:type="textWrapping"/>
      </w:r>
      <w:r w:rsidDel="00000000" w:rsidR="00000000" w:rsidRPr="00000000">
        <w:rPr>
          <w:rFonts w:ascii="Times New Roman" w:cs="Times New Roman" w:eastAsia="Times New Roman" w:hAnsi="Times New Roman"/>
          <w:sz w:val="26"/>
          <w:szCs w:val="26"/>
        </w:rPr>
        <w:drawing>
          <wp:inline distB="114300" distT="114300" distL="114300" distR="114300">
            <wp:extent cx="5731200" cy="342900"/>
            <wp:effectExtent b="0" l="0" r="0" t="0"/>
            <wp:docPr id="1" name="image4.gif"/>
            <a:graphic>
              <a:graphicData uri="http://schemas.openxmlformats.org/drawingml/2006/picture">
                <pic:pic>
                  <pic:nvPicPr>
                    <pic:cNvPr id="0" name="image4.gif"/>
                    <pic:cNvPicPr preferRelativeResize="0"/>
                  </pic:nvPicPr>
                  <pic:blipFill>
                    <a:blip r:embed="rId8"/>
                    <a:srcRect b="0" l="0" r="0" t="0"/>
                    <a:stretch>
                      <a:fillRect/>
                    </a:stretch>
                  </pic:blipFill>
                  <pic:spPr>
                    <a:xfrm>
                      <a:off x="0" y="0"/>
                      <a:ext cx="57312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Стохастические динамические модели</w:t>
      </w:r>
    </w:p>
    <w:p w:rsidR="00000000" w:rsidDel="00000000" w:rsidP="00000000" w:rsidRDefault="00000000" w:rsidRPr="00000000" w14:paraId="0000004D">
      <w:pPr>
        <w:numPr>
          <w:ilvl w:val="0"/>
          <w:numId w:val="13"/>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Формула устойчивости состояния:</w:t>
        <w:br w:type="textWrapping"/>
        <w:t xml:space="preserve"> </w:t>
      </w:r>
      <w:r w:rsidDel="00000000" w:rsidR="00000000" w:rsidRPr="00000000">
        <w:rPr>
          <w:rFonts w:ascii="Times New Roman" w:cs="Times New Roman" w:eastAsia="Times New Roman" w:hAnsi="Times New Roman"/>
          <w:sz w:val="26"/>
          <w:szCs w:val="26"/>
        </w:rPr>
        <w:drawing>
          <wp:inline distB="114300" distT="114300" distL="114300" distR="114300">
            <wp:extent cx="5731200" cy="342900"/>
            <wp:effectExtent b="0" l="0" r="0" t="0"/>
            <wp:docPr id="2" name="image3.gif"/>
            <a:graphic>
              <a:graphicData uri="http://schemas.openxmlformats.org/drawingml/2006/picture">
                <pic:pic>
                  <pic:nvPicPr>
                    <pic:cNvPr id="0" name="image3.gif"/>
                    <pic:cNvPicPr preferRelativeResize="0"/>
                  </pic:nvPicPr>
                  <pic:blipFill>
                    <a:blip r:embed="rId9"/>
                    <a:srcRect b="0" l="0" r="0" t="0"/>
                    <a:stretch>
                      <a:fillRect/>
                    </a:stretch>
                  </pic:blipFill>
                  <pic:spPr>
                    <a:xfrm>
                      <a:off x="0" y="0"/>
                      <a:ext cx="57312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0" w:before="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9tn7yntgrbrj" w:id="8"/>
      <w:bookmarkEnd w:id="8"/>
      <w:r w:rsidDel="00000000" w:rsidR="00000000" w:rsidRPr="00000000">
        <w:rPr>
          <w:rFonts w:ascii="Times New Roman" w:cs="Times New Roman" w:eastAsia="Times New Roman" w:hAnsi="Times New Roman"/>
          <w:b w:val="1"/>
          <w:bCs w:val="1"/>
          <w:sz w:val="26"/>
          <w:szCs w:val="26"/>
          <w:rtl w:val="0"/>
        </w:rPr>
        <w:t xml:space="preserve">6. Принципы гомеостаза в КФС</w:t>
      </w:r>
    </w:p>
    <w:p w:rsidR="00000000" w:rsidDel="00000000" w:rsidP="00000000" w:rsidRDefault="00000000" w:rsidRPr="00000000" w14:paraId="00000050">
      <w:pPr>
        <w:spacing w:after="0" w:before="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Определение:</w:t>
        <w:br w:type="textWrapping"/>
      </w:r>
      <w:r w:rsidDel="00000000" w:rsidR="00000000" w:rsidRPr="00000000">
        <w:rPr>
          <w:rFonts w:ascii="Times New Roman" w:cs="Times New Roman" w:eastAsia="Times New Roman" w:hAnsi="Times New Roman"/>
          <w:sz w:val="26"/>
          <w:szCs w:val="26"/>
          <w:rtl w:val="0"/>
        </w:rPr>
        <w:t xml:space="preserve"> Гомеостаз — способность системы сохранять внутреннее равновесие и восстанавливаться после внешних воздействий.</w:t>
      </w:r>
    </w:p>
    <w:p w:rsidR="00000000" w:rsidDel="00000000" w:rsidP="00000000" w:rsidRDefault="00000000" w:rsidRPr="00000000" w14:paraId="00000051">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Пример 1: Статическая умная система полива</w:t>
      </w:r>
    </w:p>
    <w:p w:rsidR="00000000" w:rsidDel="00000000" w:rsidP="00000000" w:rsidRDefault="00000000" w:rsidRPr="00000000" w14:paraId="00000052">
      <w:pPr>
        <w:numPr>
          <w:ilvl w:val="0"/>
          <w:numId w:val="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выходе из строя одного крана активируется соседний</w:t>
        <w:br w:type="textWrapping"/>
      </w:r>
    </w:p>
    <w:p w:rsidR="00000000" w:rsidDel="00000000" w:rsidP="00000000" w:rsidRDefault="00000000" w:rsidRPr="00000000" w14:paraId="00000053">
      <w:pPr>
        <w:numPr>
          <w:ilvl w:val="0"/>
          <w:numId w:val="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Система перераспределяет нагрузку</w:t>
      </w:r>
    </w:p>
    <w:p w:rsidR="00000000" w:rsidDel="00000000" w:rsidP="00000000" w:rsidRDefault="00000000" w:rsidRPr="00000000" w14:paraId="00000054">
      <w:pPr>
        <w:numPr>
          <w:ilvl w:val="0"/>
          <w:numId w:val="1"/>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Поддерживается общий режим функционирования</w:t>
        <w:br w:type="textWrapping"/>
      </w:r>
    </w:p>
    <w:p w:rsidR="00000000" w:rsidDel="00000000" w:rsidP="00000000" w:rsidRDefault="00000000" w:rsidRPr="00000000" w14:paraId="00000055">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Пример 2: Динамическая система орошения полей</w:t>
      </w:r>
    </w:p>
    <w:p w:rsidR="00000000" w:rsidDel="00000000" w:rsidP="00000000" w:rsidRDefault="00000000" w:rsidRPr="00000000" w14:paraId="00000056">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отказе машины №2 система перераспределяет задачи между остальными</w:t>
      </w:r>
    </w:p>
    <w:p w:rsidR="00000000" w:rsidDel="00000000" w:rsidP="00000000" w:rsidRDefault="00000000" w:rsidRPr="00000000" w14:paraId="00000057">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Используется минимизация расстояний d1,d2,...,dsd_1, d_2, ..., d_sd1​,d2​,...,ds​</w:t>
      </w:r>
    </w:p>
    <w:p w:rsidR="00000000" w:rsidDel="00000000" w:rsidP="00000000" w:rsidRDefault="00000000" w:rsidRPr="00000000" w14:paraId="00000058">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Применяется автоматическое управление по датчикам влажности</w:t>
        <w:br w:type="textWrapping"/>
      </w:r>
    </w:p>
    <w:p w:rsidR="00000000" w:rsidDel="00000000" w:rsidP="00000000" w:rsidRDefault="00000000" w:rsidRPr="00000000" w14:paraId="00000059">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n2roakmn2qi9" w:id="9"/>
      <w:bookmarkEnd w:id="9"/>
      <w:r w:rsidDel="00000000" w:rsidR="00000000" w:rsidRPr="00000000">
        <w:rPr>
          <w:rFonts w:ascii="Times New Roman" w:cs="Times New Roman" w:eastAsia="Times New Roman" w:hAnsi="Times New Roman"/>
          <w:b w:val="1"/>
          <w:bCs w:val="1"/>
          <w:sz w:val="26"/>
          <w:szCs w:val="26"/>
          <w:rtl w:val="0"/>
        </w:rPr>
        <w:t xml:space="preserve">7. Практические аспекты и рекомендации</w:t>
      </w:r>
    </w:p>
    <w:p w:rsidR="00000000" w:rsidDel="00000000" w:rsidP="00000000" w:rsidRDefault="00000000" w:rsidRPr="00000000" w14:paraId="0000005A">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Структура показателей безопасности:</w:t>
      </w:r>
    </w:p>
    <w:p w:rsidR="00000000" w:rsidDel="00000000" w:rsidP="00000000" w:rsidRDefault="00000000" w:rsidRPr="00000000" w14:paraId="0000005B">
      <w:pPr>
        <w:numPr>
          <w:ilvl w:val="0"/>
          <w:numId w:val="1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Аппарат оценки ИБ</w:t>
      </w:r>
      <w:r w:rsidDel="00000000" w:rsidR="00000000" w:rsidRPr="00000000">
        <w:rPr>
          <w:rFonts w:ascii="Times New Roman" w:cs="Times New Roman" w:eastAsia="Times New Roman" w:hAnsi="Times New Roman"/>
          <w:sz w:val="26"/>
          <w:szCs w:val="26"/>
          <w:rtl w:val="0"/>
        </w:rPr>
        <w:t xml:space="preserve"> — анализ конфиденциальности, доступности, целостности</w:t>
      </w:r>
    </w:p>
    <w:p w:rsidR="00000000" w:rsidDel="00000000" w:rsidP="00000000" w:rsidRDefault="00000000" w:rsidRPr="00000000" w14:paraId="0000005C">
      <w:pPr>
        <w:numPr>
          <w:ilvl w:val="0"/>
          <w:numId w:val="1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Оценка согласованности</w:t>
      </w:r>
      <w:r w:rsidDel="00000000" w:rsidR="00000000" w:rsidRPr="00000000">
        <w:rPr>
          <w:rFonts w:ascii="Times New Roman" w:cs="Times New Roman" w:eastAsia="Times New Roman" w:hAnsi="Times New Roman"/>
          <w:sz w:val="26"/>
          <w:szCs w:val="26"/>
          <w:rtl w:val="0"/>
        </w:rPr>
        <w:t xml:space="preserve"> физической и информационной частей</w:t>
      </w:r>
    </w:p>
    <w:p w:rsidR="00000000" w:rsidDel="00000000" w:rsidP="00000000" w:rsidRDefault="00000000" w:rsidRPr="00000000" w14:paraId="0000005D">
      <w:pPr>
        <w:numPr>
          <w:ilvl w:val="0"/>
          <w:numId w:val="1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Анализ влияния атак</w:t>
      </w:r>
      <w:r w:rsidDel="00000000" w:rsidR="00000000" w:rsidRPr="00000000">
        <w:rPr>
          <w:rFonts w:ascii="Times New Roman" w:cs="Times New Roman" w:eastAsia="Times New Roman" w:hAnsi="Times New Roman"/>
          <w:sz w:val="26"/>
          <w:szCs w:val="26"/>
          <w:rtl w:val="0"/>
        </w:rPr>
        <w:t xml:space="preserve"> на систему управления</w:t>
      </w:r>
    </w:p>
    <w:p w:rsidR="00000000" w:rsidDel="00000000" w:rsidP="00000000" w:rsidRDefault="00000000" w:rsidRPr="00000000" w14:paraId="0000005E">
      <w:pPr>
        <w:numPr>
          <w:ilvl w:val="0"/>
          <w:numId w:val="1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Оценка устойчивости структуры</w:t>
      </w:r>
      <w:r w:rsidDel="00000000" w:rsidR="00000000" w:rsidRPr="00000000">
        <w:rPr>
          <w:rFonts w:ascii="Times New Roman" w:cs="Times New Roman" w:eastAsia="Times New Roman" w:hAnsi="Times New Roman"/>
          <w:sz w:val="26"/>
          <w:szCs w:val="26"/>
          <w:rtl w:val="0"/>
        </w:rPr>
        <w:t xml:space="preserve"> (графовые методы, управляемость, отказоустойчивость)</w:t>
      </w:r>
    </w:p>
    <w:p w:rsidR="00000000" w:rsidDel="00000000" w:rsidP="00000000" w:rsidRDefault="00000000" w:rsidRPr="00000000" w14:paraId="0000005F">
      <w:pPr>
        <w:numPr>
          <w:ilvl w:val="0"/>
          <w:numId w:val="1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Критерии обнаружения атак</w:t>
      </w:r>
      <w:r w:rsidDel="00000000" w:rsidR="00000000" w:rsidRPr="00000000">
        <w:rPr>
          <w:rFonts w:ascii="Times New Roman" w:cs="Times New Roman" w:eastAsia="Times New Roman" w:hAnsi="Times New Roman"/>
          <w:sz w:val="26"/>
          <w:szCs w:val="26"/>
          <w:rtl w:val="0"/>
        </w:rPr>
        <w:t xml:space="preserve"> — по нарушениям самоподобия и динамической устойчивости</w:t>
        <w:br w:type="textWrapping"/>
      </w:r>
    </w:p>
    <w:p w:rsidR="00000000" w:rsidDel="00000000" w:rsidP="00000000" w:rsidRDefault="00000000" w:rsidRPr="00000000" w14:paraId="00000060">
      <w:pP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Классификация показателей безопасности:</w:t>
      </w:r>
    </w:p>
    <w:tbl>
      <w:tblPr>
        <w:tblStyle w:val="Table2"/>
        <w:tblW w:w="9025.511811023624" w:type="dxa"/>
        <w:jc w:val="left"/>
        <w:tblLayout w:type="fixed"/>
        <w:tblLook w:val="0600"/>
      </w:tblPr>
      <w:tblGrid>
        <w:gridCol w:w="2563.320332621974"/>
        <w:gridCol w:w="3224.0665243947315"/>
        <w:gridCol w:w="3238.1249540069175"/>
        <w:tblGridChange w:id="0">
          <w:tblGrid>
            <w:gridCol w:w="2563.320332621974"/>
            <w:gridCol w:w="3224.0665243947315"/>
            <w:gridCol w:w="3238.12495400691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Тип системы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Ключевые показатели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Методы оценки</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Интернет вещей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Масштабируемость, управляемость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Статистический анализ, самоподобие</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SCADA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Отказоустойчивость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Графовые методы, анализ потоков</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Беспилотные системы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Адаптивность, гомеостаз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Теория аттракторов</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Интеллектуальные роботы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Самообучаемость, устойчивость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Когнитивное моделирование</w:t>
            </w:r>
          </w:p>
        </w:tc>
      </w:tr>
    </w:tbl>
    <w:p w:rsidR="00000000" w:rsidDel="00000000" w:rsidP="00000000" w:rsidRDefault="00000000" w:rsidRPr="00000000" w14:paraId="00000070">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aevf6j3e16sd" w:id="10"/>
      <w:bookmarkEnd w:id="10"/>
      <w:r w:rsidDel="00000000" w:rsidR="00000000" w:rsidRPr="00000000">
        <w:rPr>
          <w:rtl w:val="0"/>
        </w:rPr>
      </w:r>
    </w:p>
    <w:p w:rsidR="00000000" w:rsidDel="00000000" w:rsidP="00000000" w:rsidRDefault="00000000" w:rsidRPr="00000000" w14:paraId="00000071">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xhel3uxwdjzi" w:id="11"/>
      <w:bookmarkEnd w:id="11"/>
      <w:r w:rsidDel="00000000" w:rsidR="00000000" w:rsidRPr="00000000">
        <w:rPr>
          <w:rtl w:val="0"/>
        </w:rPr>
      </w:r>
    </w:p>
    <w:p w:rsidR="00000000" w:rsidDel="00000000" w:rsidP="00000000" w:rsidRDefault="00000000" w:rsidRPr="00000000" w14:paraId="00000072">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eou6xg2wdl21" w:id="12"/>
      <w:bookmarkEnd w:id="12"/>
      <w:r w:rsidDel="00000000" w:rsidR="00000000" w:rsidRPr="00000000">
        <w:rPr>
          <w:rtl w:val="0"/>
        </w:rPr>
      </w:r>
    </w:p>
    <w:p w:rsidR="00000000" w:rsidDel="00000000" w:rsidP="00000000" w:rsidRDefault="00000000" w:rsidRPr="00000000" w14:paraId="00000073">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6qplthoglshx" w:id="13"/>
      <w:bookmarkEnd w:id="13"/>
      <w:r w:rsidDel="00000000" w:rsidR="00000000" w:rsidRPr="00000000">
        <w:rPr>
          <w:rtl w:val="0"/>
        </w:rPr>
      </w:r>
    </w:p>
    <w:p w:rsidR="00000000" w:rsidDel="00000000" w:rsidP="00000000" w:rsidRDefault="00000000" w:rsidRPr="00000000" w14:paraId="00000074">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v6zk48dtl973" w:id="14"/>
      <w:bookmarkEnd w:id="14"/>
      <w:r w:rsidDel="00000000" w:rsidR="00000000" w:rsidRPr="00000000">
        <w:rPr>
          <w:rtl w:val="0"/>
        </w:rPr>
      </w:r>
    </w:p>
    <w:p w:rsidR="00000000" w:rsidDel="00000000" w:rsidP="00000000" w:rsidRDefault="00000000" w:rsidRPr="00000000" w14:paraId="00000075">
      <w:pPr>
        <w:pStyle w:val="Heading2"/>
        <w:keepNext w:val="0"/>
        <w:keepLines w:val="0"/>
        <w:spacing w:after="0" w:before="0" w:lineRule="auto"/>
        <w:jc w:val="left"/>
        <w:rPr>
          <w:rFonts w:ascii="Times New Roman" w:cs="Times New Roman" w:eastAsia="Times New Roman" w:hAnsi="Times New Roman"/>
          <w:b w:val="1"/>
          <w:bCs w:val="1"/>
          <w:sz w:val="26"/>
          <w:szCs w:val="26"/>
        </w:rPr>
      </w:pPr>
      <w:bookmarkStart w:colFirst="0" w:colLast="0" w:name="_px6r833kouwq" w:id="15"/>
      <w:bookmarkEnd w:id="15"/>
      <w:r w:rsidDel="00000000" w:rsidR="00000000" w:rsidRPr="00000000">
        <w:rPr>
          <w:rtl w:val="0"/>
        </w:rPr>
      </w:r>
    </w:p>
    <w:p w:rsidR="00000000" w:rsidDel="00000000" w:rsidP="00000000" w:rsidRDefault="00000000" w:rsidRPr="00000000" w14:paraId="00000076">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1to8yee2vf86" w:id="16"/>
      <w:bookmarkEnd w:id="16"/>
      <w:r w:rsidDel="00000000" w:rsidR="00000000" w:rsidRPr="00000000">
        <w:rPr>
          <w:rtl w:val="0"/>
        </w:rPr>
      </w:r>
    </w:p>
    <w:p w:rsidR="00000000" w:rsidDel="00000000" w:rsidP="00000000" w:rsidRDefault="00000000" w:rsidRPr="00000000" w14:paraId="00000077">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9aj5mzxg6a8r" w:id="17"/>
      <w:bookmarkEnd w:id="17"/>
      <w:r w:rsidDel="00000000" w:rsidR="00000000" w:rsidRPr="00000000">
        <w:rPr>
          <w:rFonts w:ascii="Times New Roman" w:cs="Times New Roman" w:eastAsia="Times New Roman" w:hAnsi="Times New Roman"/>
          <w:b w:val="1"/>
          <w:bCs w:val="1"/>
          <w:sz w:val="26"/>
          <w:szCs w:val="26"/>
          <w:rtl w:val="0"/>
        </w:rPr>
        <w:t xml:space="preserve">Контрольные вопросы</w:t>
      </w:r>
    </w:p>
    <w:p w:rsidR="00000000" w:rsidDel="00000000" w:rsidP="00000000" w:rsidRDefault="00000000" w:rsidRPr="00000000" w14:paraId="00000078">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Дайте определение киберфизической системы и перечислите её основные компоненты.</w:t>
      </w:r>
    </w:p>
    <w:p w:rsidR="00000000" w:rsidDel="00000000" w:rsidP="00000000" w:rsidRDefault="00000000" w:rsidRPr="00000000" w14:paraId="00000079">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чем отличие подходов Safety и Security?</w:t>
      </w:r>
    </w:p>
    <w:p w:rsidR="00000000" w:rsidDel="00000000" w:rsidP="00000000" w:rsidRDefault="00000000" w:rsidRPr="00000000" w14:paraId="0000007A">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Опишите графовую модель атаки на КФС.</w:t>
      </w:r>
    </w:p>
    <w:p w:rsidR="00000000" w:rsidDel="00000000" w:rsidP="00000000" w:rsidRDefault="00000000" w:rsidRPr="00000000" w14:paraId="0000007B">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Какие методы используются для оценки устойчивости?</w:t>
      </w:r>
    </w:p>
    <w:p w:rsidR="00000000" w:rsidDel="00000000" w:rsidP="00000000" w:rsidRDefault="00000000" w:rsidRPr="00000000" w14:paraId="0000007C">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Что такое гомеостаз КФС и как он реализуется?</w:t>
      </w:r>
    </w:p>
    <w:p w:rsidR="00000000" w:rsidDel="00000000" w:rsidP="00000000" w:rsidRDefault="00000000" w:rsidRPr="00000000" w14:paraId="0000007D">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Приведите реальные инциденты КФС и сделайте выводы.</w:t>
      </w:r>
    </w:p>
    <w:p w:rsidR="00000000" w:rsidDel="00000000" w:rsidP="00000000" w:rsidRDefault="00000000" w:rsidRPr="00000000" w14:paraId="0000007E">
      <w:pPr>
        <w:numPr>
          <w:ilvl w:val="0"/>
          <w:numId w:val="2"/>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Какие трудности существуют при защите промышленных КФС?</w:t>
        <w:br w:type="textWrapping"/>
      </w:r>
    </w:p>
    <w:p w:rsidR="00000000" w:rsidDel="00000000" w:rsidP="00000000" w:rsidRDefault="00000000" w:rsidRPr="00000000" w14:paraId="0000007F">
      <w:pPr>
        <w:pStyle w:val="Heading2"/>
        <w:keepNext w:val="0"/>
        <w:keepLines w:val="0"/>
        <w:spacing w:after="0" w:before="0" w:lineRule="auto"/>
        <w:jc w:val="center"/>
        <w:rPr>
          <w:rFonts w:ascii="Times New Roman" w:cs="Times New Roman" w:eastAsia="Times New Roman" w:hAnsi="Times New Roman"/>
          <w:b w:val="1"/>
          <w:bCs w:val="1"/>
          <w:sz w:val="26"/>
          <w:szCs w:val="26"/>
        </w:rPr>
      </w:pPr>
      <w:bookmarkStart w:colFirst="0" w:colLast="0" w:name="_c006og2ilonr" w:id="18"/>
      <w:bookmarkEnd w:id="18"/>
      <w:r w:rsidDel="00000000" w:rsidR="00000000" w:rsidRPr="00000000">
        <w:rPr>
          <w:rFonts w:ascii="Times New Roman" w:cs="Times New Roman" w:eastAsia="Times New Roman" w:hAnsi="Times New Roman"/>
          <w:b w:val="1"/>
          <w:bCs w:val="1"/>
          <w:sz w:val="26"/>
          <w:szCs w:val="26"/>
          <w:rtl w:val="0"/>
        </w:rPr>
        <w:t xml:space="preserve">Рекомендуемая литература</w:t>
      </w:r>
    </w:p>
    <w:p w:rsidR="00000000" w:rsidDel="00000000" w:rsidP="00000000" w:rsidRDefault="00000000" w:rsidRPr="00000000" w14:paraId="00000080">
      <w:pPr>
        <w:numPr>
          <w:ilvl w:val="0"/>
          <w:numId w:val="6"/>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Зегжда П.Д. </w:t>
      </w:r>
      <w:r w:rsidDel="00000000" w:rsidR="00000000" w:rsidRPr="00000000">
        <w:rPr>
          <w:rFonts w:ascii="Times New Roman" w:cs="Times New Roman" w:eastAsia="Times New Roman" w:hAnsi="Times New Roman"/>
          <w:i w:val="1"/>
          <w:iCs w:val="1"/>
          <w:sz w:val="26"/>
          <w:szCs w:val="26"/>
          <w:rtl w:val="0"/>
        </w:rPr>
        <w:t xml:space="preserve">Подходы к оценке безопасности киберфизических систем</w:t>
      </w:r>
      <w:r w:rsidDel="00000000" w:rsidR="00000000" w:rsidRPr="00000000">
        <w:rPr>
          <w:rFonts w:ascii="Times New Roman" w:cs="Times New Roman" w:eastAsia="Times New Roman" w:hAnsi="Times New Roman"/>
          <w:sz w:val="26"/>
          <w:szCs w:val="26"/>
          <w:rtl w:val="0"/>
        </w:rPr>
        <w:t xml:space="preserve">. – СПб.: СПбПУ, 2017.</w:t>
      </w:r>
    </w:p>
    <w:p w:rsidR="00000000" w:rsidDel="00000000" w:rsidP="00000000" w:rsidRDefault="00000000" w:rsidRPr="00000000" w14:paraId="00000081">
      <w:pPr>
        <w:numPr>
          <w:ilvl w:val="0"/>
          <w:numId w:val="6"/>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Lee E.A., Seshia S.A. </w:t>
      </w:r>
      <w:r w:rsidDel="00000000" w:rsidR="00000000" w:rsidRPr="00000000">
        <w:rPr>
          <w:rFonts w:ascii="Times New Roman" w:cs="Times New Roman" w:eastAsia="Times New Roman" w:hAnsi="Times New Roman"/>
          <w:i w:val="1"/>
          <w:iCs w:val="1"/>
          <w:sz w:val="26"/>
          <w:szCs w:val="26"/>
          <w:rtl w:val="0"/>
        </w:rPr>
        <w:t xml:space="preserve">Introduction to Embedded Systems: A Cyber-Physical Systems Approach</w:t>
      </w:r>
      <w:r w:rsidDel="00000000" w:rsidR="00000000" w:rsidRPr="00000000">
        <w:rPr>
          <w:rFonts w:ascii="Times New Roman" w:cs="Times New Roman" w:eastAsia="Times New Roman" w:hAnsi="Times New Roman"/>
          <w:sz w:val="26"/>
          <w:szCs w:val="26"/>
          <w:rtl w:val="0"/>
        </w:rPr>
        <w:t xml:space="preserve">. – MIT Press, 2017.</w:t>
      </w:r>
    </w:p>
    <w:p w:rsidR="00000000" w:rsidDel="00000000" w:rsidP="00000000" w:rsidRDefault="00000000" w:rsidRPr="00000000" w14:paraId="00000082">
      <w:pPr>
        <w:numPr>
          <w:ilvl w:val="0"/>
          <w:numId w:val="6"/>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Безопасность киберфизических систем: современные вызовы и решения.</w:t>
      </w:r>
      <w:r w:rsidDel="00000000" w:rsidR="00000000" w:rsidRPr="00000000">
        <w:rPr>
          <w:rFonts w:ascii="Times New Roman" w:cs="Times New Roman" w:eastAsia="Times New Roman" w:hAnsi="Times New Roman"/>
          <w:sz w:val="26"/>
          <w:szCs w:val="26"/>
          <w:rtl w:val="0"/>
        </w:rPr>
        <w:t xml:space="preserve"> Под ред. А.В. Чернова. – М.: Техносфера, 2020.</w:t>
      </w:r>
    </w:p>
    <w:p w:rsidR="00000000" w:rsidDel="00000000" w:rsidP="00000000" w:rsidRDefault="00000000" w:rsidRPr="00000000" w14:paraId="00000083">
      <w:pPr>
        <w:numPr>
          <w:ilvl w:val="0"/>
          <w:numId w:val="6"/>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Khaitan S.K., McCalley J.D. </w:t>
      </w:r>
      <w:r w:rsidDel="00000000" w:rsidR="00000000" w:rsidRPr="00000000">
        <w:rPr>
          <w:rFonts w:ascii="Times New Roman" w:cs="Times New Roman" w:eastAsia="Times New Roman" w:hAnsi="Times New Roman"/>
          <w:i w:val="1"/>
          <w:iCs w:val="1"/>
          <w:sz w:val="26"/>
          <w:szCs w:val="26"/>
          <w:rtl w:val="0"/>
        </w:rPr>
        <w:t xml:space="preserve">Design Techniques and Applications of Cyber-Physical Systems: A Survey</w:t>
      </w:r>
      <w:r w:rsidDel="00000000" w:rsidR="00000000" w:rsidRPr="00000000">
        <w:rPr>
          <w:rFonts w:ascii="Times New Roman" w:cs="Times New Roman" w:eastAsia="Times New Roman" w:hAnsi="Times New Roman"/>
          <w:sz w:val="26"/>
          <w:szCs w:val="26"/>
          <w:rtl w:val="0"/>
        </w:rPr>
        <w:t xml:space="preserve">. – IEEE Systems Journal, 2015.</w:t>
      </w:r>
    </w:p>
    <w:p w:rsidR="00000000" w:rsidDel="00000000" w:rsidP="00000000" w:rsidRDefault="00000000" w:rsidRPr="00000000" w14:paraId="00000084">
      <w:pPr>
        <w:numPr>
          <w:ilvl w:val="0"/>
          <w:numId w:val="6"/>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Cyber-Physical Systems: Foundations, Principles and Applications.</w:t>
      </w:r>
      <w:r w:rsidDel="00000000" w:rsidR="00000000" w:rsidRPr="00000000">
        <w:rPr>
          <w:rFonts w:ascii="Times New Roman" w:cs="Times New Roman" w:eastAsia="Times New Roman" w:hAnsi="Times New Roman"/>
          <w:sz w:val="26"/>
          <w:szCs w:val="26"/>
          <w:rtl w:val="0"/>
        </w:rPr>
        <w:t xml:space="preserve"> – Academic Press, 2017.</w:t>
      </w:r>
    </w:p>
    <w:p w:rsidR="00000000" w:rsidDel="00000000" w:rsidP="00000000" w:rsidRDefault="00000000" w:rsidRPr="00000000" w14:paraId="00000085">
      <w:pPr>
        <w:spacing w:after="0" w:before="0" w:lineRule="auto"/>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gif"/><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image" Target="media/image1.gif"/><Relationship Id="rId8"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